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center"/>
        <w:rPr>
          <w:rFonts w:ascii="Georgia" w:cs="Georgia" w:eastAsia="Georgia" w:hAnsi="Georgia"/>
          <w:i w:val="1"/>
          <w:color w:val="4a86e8"/>
          <w:highlight w:val="yellow"/>
        </w:rPr>
      </w:pPr>
      <w:r w:rsidDel="00000000" w:rsidR="00000000" w:rsidRPr="00000000">
        <w:rPr>
          <w:rFonts w:ascii="Georgia" w:cs="Georgia" w:eastAsia="Georgia" w:hAnsi="Georgia"/>
          <w:i w:val="1"/>
          <w:color w:val="4a86e8"/>
          <w:highlight w:val="yellow"/>
          <w:rtl w:val="0"/>
        </w:rPr>
        <w:t xml:space="preserve">Descarga materiales gráficos y totales </w:t>
      </w:r>
      <w:hyperlink r:id="rId6">
        <w:r w:rsidDel="00000000" w:rsidR="00000000" w:rsidRPr="00000000">
          <w:rPr>
            <w:rFonts w:ascii="Georgia" w:cs="Georgia" w:eastAsia="Georgia" w:hAnsi="Georgia"/>
            <w:i w:val="1"/>
            <w:color w:val="4a86e8"/>
            <w:highlight w:val="yellow"/>
            <w:u w:val="single"/>
            <w:rtl w:val="0"/>
          </w:rPr>
          <w:t xml:space="preserve">aquí</w:t>
        </w:r>
      </w:hyperlink>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Georgia" w:cs="Georgia" w:eastAsia="Georgia" w:hAnsi="Georgia"/>
          <w:i w:val="1"/>
          <w:color w:val="7a00e6"/>
          <w:sz w:val="36"/>
          <w:szCs w:val="36"/>
        </w:rPr>
      </w:pPr>
      <w:r w:rsidDel="00000000" w:rsidR="00000000" w:rsidRPr="00000000">
        <w:rPr>
          <w:rFonts w:ascii="Georgia" w:cs="Georgia" w:eastAsia="Georgia" w:hAnsi="Georgia"/>
          <w:i w:val="1"/>
          <w:color w:val="7a00e6"/>
          <w:sz w:val="36"/>
          <w:szCs w:val="36"/>
          <w:rtl w:val="0"/>
        </w:rPr>
        <w:t xml:space="preserve">Sanofi impulsa la innovación en esclerosis múltiple con la Inteligencia Artificial como aliada</w:t>
      </w:r>
    </w:p>
    <w:p w:rsidR="00000000" w:rsidDel="00000000" w:rsidP="00000000" w:rsidRDefault="00000000" w:rsidRPr="00000000" w14:paraId="00000003">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el marco del MWC 2025, Sanofi ha celebrado el evento </w:t>
      </w:r>
      <w:r w:rsidDel="00000000" w:rsidR="00000000" w:rsidRPr="00000000">
        <w:rPr>
          <w:rFonts w:ascii="Verdana" w:cs="Verdana" w:eastAsia="Verdana" w:hAnsi="Verdana"/>
          <w:i w:val="1"/>
          <w:sz w:val="20"/>
          <w:szCs w:val="20"/>
          <w:rtl w:val="0"/>
        </w:rPr>
        <w:t xml:space="preserve">JaquEMate: Ciencia y tecnología en la partida contra la Esclerosis Múltiple</w:t>
      </w:r>
      <w:r w:rsidDel="00000000" w:rsidR="00000000" w:rsidRPr="00000000">
        <w:rPr>
          <w:rFonts w:ascii="Verdana" w:cs="Verdana" w:eastAsia="Verdana" w:hAnsi="Verdana"/>
          <w:sz w:val="20"/>
          <w:szCs w:val="20"/>
          <w:rtl w:val="0"/>
        </w:rPr>
        <w:t xml:space="preserve">, explorando el papel transformador de la IA en la investigación y el tratamiento de la enfermedad</w:t>
      </w:r>
    </w:p>
    <w:p w:rsidR="00000000" w:rsidDel="00000000" w:rsidP="00000000" w:rsidRDefault="00000000" w:rsidRPr="00000000" w14:paraId="0000000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campaña </w:t>
      </w:r>
      <w:r w:rsidDel="00000000" w:rsidR="00000000" w:rsidRPr="00000000">
        <w:rPr>
          <w:rFonts w:ascii="Verdana" w:cs="Verdana" w:eastAsia="Verdana" w:hAnsi="Verdana"/>
          <w:i w:val="1"/>
          <w:sz w:val="20"/>
          <w:szCs w:val="20"/>
          <w:rtl w:val="0"/>
        </w:rPr>
        <w:t xml:space="preserve">JaquEMate: Ganemos la partida a la Esclerosis Múltiple</w:t>
      </w:r>
      <w:r w:rsidDel="00000000" w:rsidR="00000000" w:rsidRPr="00000000">
        <w:rPr>
          <w:rFonts w:ascii="Verdana" w:cs="Verdana" w:eastAsia="Verdana" w:hAnsi="Verdana"/>
          <w:sz w:val="20"/>
          <w:szCs w:val="20"/>
          <w:rtl w:val="0"/>
        </w:rPr>
        <w:t xml:space="preserve"> utiliza el ajedrez como analogía para concienciar sobre la importancia de la planificación estratégica y la anticipación en el manejo de esta enfermedad neurológica crónica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Barcelona, 6 de marzo de 2025</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sz w:val="20"/>
          <w:szCs w:val="20"/>
          <w:rtl w:val="0"/>
        </w:rPr>
        <w:t xml:space="preserve"> En el marco del </w:t>
      </w:r>
      <w:r w:rsidDel="00000000" w:rsidR="00000000" w:rsidRPr="00000000">
        <w:rPr>
          <w:rFonts w:ascii="Verdana" w:cs="Verdana" w:eastAsia="Verdana" w:hAnsi="Verdana"/>
          <w:sz w:val="20"/>
          <w:szCs w:val="20"/>
          <w:rtl w:val="0"/>
        </w:rPr>
        <w:t xml:space="preserve">MWC 2025</w:t>
      </w:r>
      <w:r w:rsidDel="00000000" w:rsidR="00000000" w:rsidRPr="00000000">
        <w:rPr>
          <w:rFonts w:ascii="Verdana" w:cs="Verdana" w:eastAsia="Verdana" w:hAnsi="Verdana"/>
          <w:sz w:val="20"/>
          <w:szCs w:val="20"/>
          <w:rtl w:val="0"/>
        </w:rPr>
        <w:t xml:space="preserve">, Sanofi ha celebrado el evento </w:t>
      </w:r>
      <w:r w:rsidDel="00000000" w:rsidR="00000000" w:rsidRPr="00000000">
        <w:rPr>
          <w:rFonts w:ascii="Verdana" w:cs="Verdana" w:eastAsia="Verdana" w:hAnsi="Verdana"/>
          <w:b w:val="1"/>
          <w:sz w:val="20"/>
          <w:szCs w:val="20"/>
          <w:rtl w:val="0"/>
        </w:rPr>
        <w:t xml:space="preserve">“JaquEMate: Ciencia y tecnología en la partida contra la Esclerosis Múltiple</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sz w:val="20"/>
          <w:szCs w:val="20"/>
          <w:rtl w:val="0"/>
        </w:rPr>
        <w:t xml:space="preserve">, reuniendo a expertos en neurología, inteligencia artificial (IA) y representantes de asociaciones de pacientes para debatir sobre el impacto de la IA en la investigación y tratamiento de la enfermedad. La iniciativa busca concienciar sobre la importancia de la planificación estratégica y la anticipación para abordar la progresión de la Esclerosis Múltiple.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evento se enmarca dentro de la campaña </w:t>
      </w:r>
      <w:r w:rsidDel="00000000" w:rsidR="00000000" w:rsidRPr="00000000">
        <w:rPr>
          <w:rFonts w:ascii="Verdana" w:cs="Verdana" w:eastAsia="Verdana" w:hAnsi="Verdana"/>
          <w:i w:val="1"/>
          <w:sz w:val="20"/>
          <w:szCs w:val="20"/>
          <w:rtl w:val="0"/>
        </w:rPr>
        <w:t xml:space="preserve">JaquEMate: Ganemos la partida a la Esclerosis Múltiple</w:t>
      </w:r>
      <w:r w:rsidDel="00000000" w:rsidR="00000000" w:rsidRPr="00000000">
        <w:rPr>
          <w:rFonts w:ascii="Verdana" w:cs="Verdana" w:eastAsia="Verdana" w:hAnsi="Verdana"/>
          <w:sz w:val="20"/>
          <w:szCs w:val="20"/>
          <w:rtl w:val="0"/>
        </w:rPr>
        <w:t xml:space="preserve">, una iniciativa de Sanofi que emplea el ajedrez como analogía para ilustrar los desafíos de la “enfermedad de las mil caras”. Al igual que una partida de ajedrez, la Esclerosis Múltiple plantea desafíos complejos e impredecibles, que requieren actuar de manera anticipada y con una visión a largo plazo.</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ind w:left="580" w:firstLine="0"/>
        <w:jc w:val="both"/>
        <w:rPr>
          <w:rFonts w:ascii="Georgia" w:cs="Georgia" w:eastAsia="Georgia" w:hAnsi="Georgia"/>
          <w:color w:val="7a00e6"/>
          <w:sz w:val="20"/>
          <w:szCs w:val="20"/>
        </w:rPr>
      </w:pPr>
      <w:r w:rsidDel="00000000" w:rsidR="00000000" w:rsidRPr="00000000">
        <w:rPr>
          <w:rFonts w:ascii="Georgia" w:cs="Georgia" w:eastAsia="Georgia" w:hAnsi="Georgia"/>
          <w:i w:val="1"/>
          <w:color w:val="7a00e6"/>
          <w:sz w:val="20"/>
          <w:szCs w:val="20"/>
          <w:rtl w:val="0"/>
        </w:rPr>
        <w:t xml:space="preserve">Raquel Tapia</w:t>
      </w:r>
      <w:r w:rsidDel="00000000" w:rsidR="00000000" w:rsidRPr="00000000">
        <w:rPr>
          <w:rFonts w:ascii="Georgia" w:cs="Georgia" w:eastAsia="Georgia" w:hAnsi="Georgia"/>
          <w:color w:val="7a00e6"/>
          <w:sz w:val="20"/>
          <w:szCs w:val="20"/>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ind w:left="5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Directora general Sanofi España y directora general Sanofi Specialty Care Iberia</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ind w:left="580" w:firstLine="0"/>
        <w:jc w:val="both"/>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"En Sanofi combinamos ciencia y tecnología para abordar de manera innovadora enfermedades inmunológicas como la Esclerosis Múltiple. Nuestra ambición es cambiar el paradigma de la enfermedad, apostando por soluciones que permitan ralentizar su progresión y mejorar la calidad de vida de las personas afectadas."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rtl w:val="0"/>
        </w:rPr>
        <w:t xml:space="preserve">La sesión inaugural ha contado con la participación de </w:t>
      </w:r>
      <w:r w:rsidDel="00000000" w:rsidR="00000000" w:rsidRPr="00000000">
        <w:rPr>
          <w:rFonts w:ascii="Verdana" w:cs="Verdana" w:eastAsia="Verdana" w:hAnsi="Verdana"/>
          <w:b w:val="1"/>
          <w:sz w:val="20"/>
          <w:szCs w:val="20"/>
          <w:rtl w:val="0"/>
        </w:rPr>
        <w:t xml:space="preserve">Miguel Illescas</w:t>
      </w:r>
      <w:r w:rsidDel="00000000" w:rsidR="00000000" w:rsidRPr="00000000">
        <w:rPr>
          <w:rFonts w:ascii="Verdana" w:cs="Verdana" w:eastAsia="Verdana" w:hAnsi="Verdana"/>
          <w:sz w:val="20"/>
          <w:szCs w:val="20"/>
          <w:rtl w:val="0"/>
        </w:rPr>
        <w:t xml:space="preserve">, Gran Maestro Internacional de Ajedrez, informático</w:t>
      </w:r>
      <w:r w:rsidDel="00000000" w:rsidR="00000000" w:rsidRPr="00000000">
        <w:rPr>
          <w:rFonts w:ascii="Verdana" w:cs="Verdana" w:eastAsia="Verdana" w:hAnsi="Verdana"/>
          <w:sz w:val="20"/>
          <w:szCs w:val="20"/>
          <w:rtl w:val="0"/>
        </w:rPr>
        <w:t xml:space="preserve"> y miembro del legendario equipo IBM “Deep Blue”</w:t>
      </w:r>
      <w:r w:rsidDel="00000000" w:rsidR="00000000" w:rsidRPr="00000000">
        <w:rPr>
          <w:rFonts w:ascii="Verdana" w:cs="Verdana" w:eastAsia="Verdana" w:hAnsi="Verdana"/>
          <w:sz w:val="20"/>
          <w:szCs w:val="20"/>
          <w:rtl w:val="0"/>
        </w:rPr>
        <w:t xml:space="preserve">, quien ha demostrado a través de una partida en vivo los paralelismos entre la estrategia del ajedrez y la gestión de la Esclerosis Múltiple.</w:t>
      </w:r>
      <w:r w:rsidDel="00000000" w:rsidR="00000000" w:rsidRPr="00000000">
        <w:rPr>
          <w:rFonts w:ascii="Verdana" w:cs="Verdana" w:eastAsia="Verdana" w:hAnsi="Verdana"/>
          <w:sz w:val="20"/>
          <w:szCs w:val="20"/>
          <w:highlight w:val="white"/>
          <w:rtl w:val="0"/>
        </w:rPr>
        <w:t xml:space="preserve"> “</w:t>
      </w:r>
      <w:r w:rsidDel="00000000" w:rsidR="00000000" w:rsidRPr="00000000">
        <w:rPr>
          <w:rFonts w:ascii="Verdana" w:cs="Verdana" w:eastAsia="Verdana" w:hAnsi="Verdana"/>
          <w:i w:val="1"/>
          <w:sz w:val="20"/>
          <w:szCs w:val="20"/>
          <w:highlight w:val="white"/>
          <w:rtl w:val="0"/>
        </w:rPr>
        <w:t xml:space="preserve">La Esclerosis Múltiple (EM) no trae un manual de instrucciones; es un desafío que, como en el ajedrez, exige estrategia, visión a largo plazo y la capacidad de adaptarse a lo inesperado. Cada movimiento cuenta, y cada persona con EM juega su propia partida, única e irrepetible. No hay dos partidas iguales, de la misma manera que no hay dos formas idénticas de vivir esta enfermedad. Por eso, la planificación y la adaptación no solo son esenciales en el tablero, sino también en la vida de quienes conviven con la EM</w:t>
      </w:r>
      <w:r w:rsidDel="00000000" w:rsidR="00000000" w:rsidRPr="00000000">
        <w:rPr>
          <w:rFonts w:ascii="Verdana" w:cs="Verdana" w:eastAsia="Verdana" w:hAnsi="Verdana"/>
          <w:sz w:val="20"/>
          <w:szCs w:val="20"/>
          <w:highlight w:val="white"/>
          <w:rtl w:val="0"/>
        </w:rPr>
        <w:t xml:space="preserve">”, afirma Illescas.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esclerosis múltiple es una enfermedad autoinmune y neurodegenerativa que afecta a más de 2.8 millones de personas en el mundo, aproximadamente 58.000 en España. Se caracteriza por su imprevisibilidad y evolución única en cada paciente, afectando el sistema nervioso central y causando síntomas como fatiga, problemas de movilidad y alteraciones cognitivas. La clave para su manejo es una intervención temprana y una estrategia personalizada que permita frenar su progresión.</w:t>
      </w:r>
    </w:p>
    <w:p w:rsidR="00000000" w:rsidDel="00000000" w:rsidP="00000000" w:rsidRDefault="00000000" w:rsidRPr="00000000" w14:paraId="000000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jc w:val="both"/>
        <w:rPr>
          <w:rFonts w:ascii="Verdana" w:cs="Verdana" w:eastAsia="Verdana" w:hAnsi="Verdana"/>
          <w:b w:val="1"/>
          <w:color w:val="000000"/>
          <w:sz w:val="26"/>
          <w:szCs w:val="26"/>
        </w:rPr>
      </w:pPr>
      <w:bookmarkStart w:colFirst="0" w:colLast="0" w:name="_8zi9yqubn5tn" w:id="0"/>
      <w:bookmarkEnd w:id="0"/>
      <w:r w:rsidDel="00000000" w:rsidR="00000000" w:rsidRPr="00000000">
        <w:rPr>
          <w:rFonts w:ascii="Verdana" w:cs="Verdana" w:eastAsia="Verdana" w:hAnsi="Verdana"/>
          <w:b w:val="1"/>
          <w:color w:val="000000"/>
          <w:sz w:val="20"/>
          <w:szCs w:val="20"/>
          <w:u w:val="single"/>
          <w:rtl w:val="0"/>
        </w:rPr>
        <w:t xml:space="preserve">El papel de la IA en el futuro de la Esclerosis Múltiple</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Durante la mesa redonda moderada por Josep Agustín, Franchise Head Neurology de Sanofi, los expertos han analizado cómo la IA está revolucionando el abordaje de esta enfermedad:</w:t>
      </w:r>
    </w:p>
    <w:p w:rsidR="00000000" w:rsidDel="00000000" w:rsidP="00000000" w:rsidRDefault="00000000" w:rsidRPr="00000000" w14:paraId="0000000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Ana Torredemer</w:t>
      </w:r>
      <w:r w:rsidDel="00000000" w:rsidR="00000000" w:rsidRPr="00000000">
        <w:rPr>
          <w:rFonts w:ascii="Verdana" w:cs="Verdana" w:eastAsia="Verdana" w:hAnsi="Verdana"/>
          <w:sz w:val="20"/>
          <w:szCs w:val="20"/>
          <w:rtl w:val="0"/>
        </w:rPr>
        <w:t xml:space="preserve">, Presidenta de Esclerosis Múltiple España (EME), ha destacado </w:t>
      </w:r>
      <w:r w:rsidDel="00000000" w:rsidR="00000000" w:rsidRPr="00000000">
        <w:rPr>
          <w:rFonts w:ascii="Verdana" w:cs="Verdana" w:eastAsia="Verdana" w:hAnsi="Verdana"/>
          <w:sz w:val="20"/>
          <w:szCs w:val="20"/>
          <w:rtl w:val="0"/>
        </w:rPr>
        <w:t xml:space="preserve">las necesidades clave de los pacientes y la importancia de una atención personalizada</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i w:val="1"/>
          <w:sz w:val="20"/>
          <w:szCs w:val="20"/>
          <w:rtl w:val="0"/>
        </w:rPr>
        <w:t xml:space="preserve">Las personas con esclerosis múltiple requieren una atención verdaderamente personalizada, que tenga en cuenta sus necesidades específicas en cada etapa de la enfermedad. La tecnología y la inteligencia artificial son fundamentales para mejorar la calidad de vida de los pacientes, pero no debemos olvidar que, detrás de cada decisión médica, también están la inteligencia natural, la empatía y la experiencia de los profesionales de la salud</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Dra. Carmen Tur</w:t>
      </w:r>
      <w:r w:rsidDel="00000000" w:rsidR="00000000" w:rsidRPr="00000000">
        <w:rPr>
          <w:rFonts w:ascii="Verdana" w:cs="Verdana" w:eastAsia="Verdana" w:hAnsi="Verdana"/>
          <w:sz w:val="20"/>
          <w:szCs w:val="20"/>
          <w:rtl w:val="0"/>
        </w:rPr>
        <w:t xml:space="preserve">, Neuróloga Investigadora Senior del Cemcat, ha explicado </w:t>
      </w:r>
      <w:r w:rsidDel="00000000" w:rsidR="00000000" w:rsidRPr="00000000">
        <w:rPr>
          <w:rFonts w:ascii="Verdana" w:cs="Verdana" w:eastAsia="Verdana" w:hAnsi="Verdana"/>
          <w:sz w:val="20"/>
          <w:szCs w:val="20"/>
          <w:rtl w:val="0"/>
        </w:rPr>
        <w:t xml:space="preserve">cómo la IA permite predecir la evolución de la enfermedad y adaptar los tratamientos para frenar su progresión</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sz w:val="20"/>
          <w:szCs w:val="20"/>
          <w:highlight w:val="white"/>
          <w:rtl w:val="0"/>
        </w:rPr>
        <w:t xml:space="preserve"> Según la Dra. Tur “</w:t>
      </w:r>
      <w:r w:rsidDel="00000000" w:rsidR="00000000" w:rsidRPr="00000000">
        <w:rPr>
          <w:rFonts w:ascii="Verdana" w:cs="Verdana" w:eastAsia="Verdana" w:hAnsi="Verdana"/>
          <w:i w:val="1"/>
          <w:sz w:val="20"/>
          <w:szCs w:val="20"/>
          <w:highlight w:val="white"/>
          <w:rtl w:val="0"/>
        </w:rPr>
        <w:t xml:space="preserve">La inteligencia artificial nos permitirá predecir la evolución de la esclerosis múltiple y crear algoritmos terap</w:t>
      </w:r>
      <w:r w:rsidDel="00000000" w:rsidR="00000000" w:rsidRPr="00000000">
        <w:rPr>
          <w:rFonts w:ascii="Verdana" w:cs="Verdana" w:eastAsia="Verdana" w:hAnsi="Verdana"/>
          <w:i w:val="1"/>
          <w:sz w:val="20"/>
          <w:szCs w:val="20"/>
          <w:highlight w:val="white"/>
          <w:rtl w:val="0"/>
        </w:rPr>
        <w:t xml:space="preserve">éuticos más precisos </w:t>
      </w:r>
      <w:r w:rsidDel="00000000" w:rsidR="00000000" w:rsidRPr="00000000">
        <w:rPr>
          <w:rFonts w:ascii="Verdana" w:cs="Verdana" w:eastAsia="Verdana" w:hAnsi="Verdana"/>
          <w:i w:val="1"/>
          <w:sz w:val="20"/>
          <w:szCs w:val="20"/>
          <w:highlight w:val="white"/>
          <w:rtl w:val="0"/>
        </w:rPr>
        <w:t xml:space="preserve">para frenar su progresión. Gracias al análisis avanzado de datos, podremos tomar decisiones más personalizadas para cada paciente. Ahora que conocemos su potencial, la IA es una herramienta imprescindible tanto en la investigación como en el seguimiento del abordaje de esta enfermedad.”</w:t>
      </w:r>
      <w:r w:rsidDel="00000000" w:rsidR="00000000" w:rsidRPr="00000000">
        <w:rPr>
          <w:rtl w:val="0"/>
        </w:rPr>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Albert Pla Planas</w:t>
      </w:r>
      <w:r w:rsidDel="00000000" w:rsidR="00000000" w:rsidRPr="00000000">
        <w:rPr>
          <w:rFonts w:ascii="Verdana" w:cs="Verdana" w:eastAsia="Verdana" w:hAnsi="Verdana"/>
          <w:sz w:val="20"/>
          <w:szCs w:val="20"/>
          <w:rtl w:val="0"/>
        </w:rPr>
        <w:t xml:space="preserve">, R</w:t>
      </w:r>
      <w:r w:rsidDel="00000000" w:rsidR="00000000" w:rsidRPr="00000000">
        <w:rPr>
          <w:rFonts w:ascii="Verdana" w:cs="Verdana" w:eastAsia="Verdana" w:hAnsi="Verdana"/>
          <w:sz w:val="20"/>
          <w:szCs w:val="20"/>
          <w:highlight w:val="white"/>
          <w:rtl w:val="0"/>
        </w:rPr>
        <w:t xml:space="preserve">&amp;D Data Science Team Leader de Sanofi, ha expuesto </w:t>
      </w:r>
      <w:r w:rsidDel="00000000" w:rsidR="00000000" w:rsidRPr="00000000">
        <w:rPr>
          <w:rFonts w:ascii="Verdana" w:cs="Verdana" w:eastAsia="Verdana" w:hAnsi="Verdana"/>
          <w:sz w:val="20"/>
          <w:szCs w:val="20"/>
          <w:highlight w:val="white"/>
          <w:rtl w:val="0"/>
        </w:rPr>
        <w:t xml:space="preserve">el impacto del análisis de datos en el desarrollo de nuevas terapias, acelerando la investigación y personalización de los tratamientos</w:t>
      </w:r>
      <w:r w:rsidDel="00000000" w:rsidR="00000000" w:rsidRPr="00000000">
        <w:rPr>
          <w:rFonts w:ascii="Verdana" w:cs="Verdana" w:eastAsia="Verdana" w:hAnsi="Verdana"/>
          <w:sz w:val="20"/>
          <w:szCs w:val="20"/>
          <w:highlight w:val="white"/>
          <w:rtl w:val="0"/>
        </w:rPr>
        <w:t xml:space="preserve">.</w:t>
      </w:r>
      <w:r w:rsidDel="00000000" w:rsidR="00000000" w:rsidRPr="00000000">
        <w:rPr>
          <w:rFonts w:ascii="Verdana" w:cs="Verdana" w:eastAsia="Verdana" w:hAnsi="Verdana"/>
          <w:sz w:val="20"/>
          <w:szCs w:val="20"/>
          <w:highlight w:val="white"/>
          <w:rtl w:val="0"/>
        </w:rPr>
        <w:t xml:space="preserve"> Tal como ha destacado “</w:t>
      </w:r>
      <w:r w:rsidDel="00000000" w:rsidR="00000000" w:rsidRPr="00000000">
        <w:rPr>
          <w:rFonts w:ascii="Verdana" w:cs="Verdana" w:eastAsia="Verdana" w:hAnsi="Verdana"/>
          <w:i w:val="1"/>
          <w:sz w:val="20"/>
          <w:szCs w:val="20"/>
          <w:highlight w:val="white"/>
          <w:rtl w:val="0"/>
        </w:rPr>
        <w:t xml:space="preserve">la inteligencia artificial es una herramienta esencial en todos los ámbitos de la investigación biomédica y nos permite analizar grandes volúmenes de datos, acelerar el desarrollo de nuevos fármacos y personalizar los tratamientos, optimizando cada etapa del proceso. Su impacto en la innovación es clave y no debemos desaprovechar su potencial</w:t>
      </w:r>
      <w:r w:rsidDel="00000000" w:rsidR="00000000" w:rsidRPr="00000000">
        <w:rPr>
          <w:rFonts w:ascii="Verdana" w:cs="Verdana" w:eastAsia="Verdana" w:hAnsi="Verdana"/>
          <w:sz w:val="20"/>
          <w:szCs w:val="20"/>
          <w:highlight w:val="white"/>
          <w:rtl w:val="0"/>
        </w:rPr>
        <w:t xml:space="preserv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expertos coincidieron en que la IA puede mejorar el diagnóstico temprano, optimizar el desarrollo de fármacos y adaptar los tratamientos a cada paciente, contribuyendo a cambiar el paradigma de la enfermedad.</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Esta acción, celebrada en el marco del MWC 2025, dentro del co-located Talent Arena, ha contado con la colaboración de Mobile World Capital Barcelona, el Gran Maestro Internacional de Ajedrez Miguel Illescas, las entidades Ajedrez y Empresa, Ajedrez21, la revista Peón de Rey, la escuela de ajedrez EDAMI, la Asociación Esclerosis Múltiple España (EME) y el centro de referencia en Esclerosis Múltiple Cemcat.</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Sanofi reafirma su compromiso con la investigación en esclerosis múltiple, desarrollando soluciones innovadoras que permitan ralentizar su progresión y mejorar la calidad de vida de los pacientes.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Georgia" w:cs="Georgia" w:eastAsia="Georgia" w:hAnsi="Georgia"/>
          <w:i w:val="1"/>
          <w:color w:val="7a00e6"/>
          <w:sz w:val="20"/>
          <w:szCs w:val="20"/>
        </w:rPr>
      </w:pPr>
      <w:r w:rsidDel="00000000" w:rsidR="00000000" w:rsidRPr="00000000">
        <w:rPr>
          <w:rFonts w:ascii="Georgia" w:cs="Georgia" w:eastAsia="Georgia" w:hAnsi="Georgia"/>
          <w:i w:val="1"/>
          <w:color w:val="7a00e6"/>
          <w:sz w:val="20"/>
          <w:szCs w:val="20"/>
          <w:rtl w:val="0"/>
        </w:rPr>
        <w:t xml:space="preserve">Acerca de Sanofi</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Somos una compañía innovadora mundial dedicada al cuidado de la salud con el objetivo de perseguir el poder de la ciencia para mejorar la vida de las personas. Nuestro equipo, repartido en unos 100 países, se dedica a transformar la práctica de la medicina para hacer posible lo imposible. Prevenimos enfermedades gracias a las vacunas y proporcionamos tratamientos que pueden cambiar la vida de millones de personas en todo el mundo. Y lo hacemos poniendo la sostenibilidad y la responsabilidad social en el centro de nuestro propósito.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Georgia" w:cs="Georgia" w:eastAsia="Georgia" w:hAnsi="Georgia"/>
          <w:color w:val="7a00e6"/>
          <w:sz w:val="20"/>
          <w:szCs w:val="20"/>
        </w:rPr>
      </w:pPr>
      <w:r w:rsidDel="00000000" w:rsidR="00000000" w:rsidRPr="00000000">
        <w:rPr>
          <w:rFonts w:ascii="Georgia" w:cs="Georgia" w:eastAsia="Georgia" w:hAnsi="Georgia"/>
          <w:i w:val="1"/>
          <w:color w:val="7a00e6"/>
          <w:sz w:val="20"/>
          <w:szCs w:val="20"/>
          <w:rtl w:val="0"/>
        </w:rPr>
        <w:t xml:space="preserve">Contactos de prensa </w:t>
      </w:r>
      <w:r w:rsidDel="00000000" w:rsidR="00000000" w:rsidRPr="00000000">
        <w:rPr>
          <w:rFonts w:ascii="Georgia" w:cs="Georgia" w:eastAsia="Georgia" w:hAnsi="Georgia"/>
          <w:color w:val="7a00e6"/>
          <w:sz w:val="20"/>
          <w:szCs w:val="20"/>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Andrea Macarie | 651 121 030 | andrea.macarie@sanofi.com</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Andrea Ordax | 628 750 240 | andrea.ordax@hillandknowlton.com</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Lluïsa Clua | 689 46 23 29 | lluisa.clua@hillandknowlton.com</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Georgia" w:cs="Georgia" w:eastAsia="Georgia" w:hAnsi="Georgia"/>
          <w:color w:val="7a00e6"/>
          <w:sz w:val="20"/>
          <w:szCs w:val="20"/>
        </w:rPr>
      </w:pPr>
      <w:r w:rsidDel="00000000" w:rsidR="00000000" w:rsidRPr="00000000">
        <w:rPr>
          <w:rFonts w:ascii="Georgia" w:cs="Georgia" w:eastAsia="Georgia" w:hAnsi="Georgia"/>
          <w:i w:val="1"/>
          <w:color w:val="7a00e6"/>
          <w:sz w:val="20"/>
          <w:szCs w:val="20"/>
          <w:rtl w:val="0"/>
        </w:rPr>
        <w:t xml:space="preserve">Declaraciones prospectivas de Sanofi </w:t>
      </w:r>
      <w:r w:rsidDel="00000000" w:rsidR="00000000" w:rsidRPr="00000000">
        <w:rPr>
          <w:rFonts w:ascii="Georgia" w:cs="Georgia" w:eastAsia="Georgia" w:hAnsi="Georgia"/>
          <w:color w:val="7a00e6"/>
          <w:sz w:val="20"/>
          <w:szCs w:val="20"/>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14"/>
          <w:szCs w:val="14"/>
          <w:rtl w:val="0"/>
        </w:rPr>
        <w:t xml:space="preserve">Este comunicado de prensa contiene declaraciones prospectivas como se define en la Ley de Reforma de Litigios sobre Valores Privados de 1995, y sus enmiendas. Las declaraciones prospectivas son declaraciones que no son hechos históricos. Estas declaraciones incluyen proyecciones, así como estimaciones y sus suposiciones subyacentes, declaraciones sobre planes, objetivos, intenciones y expectativas con respecto a futuros resultados financieros, eventos, operaciones, servicios, desarrollo de productos y potencial, así como declaraciones referentes al rendimiento futuro. Las declaraciones prospectivas se pueden identificar generalmente mediante palabras como “esperar”, “prever”, “creer”, “pretender”, “estimar”, “planear” y expresiones similares. A pesar de que la dirección de Sanofi cree que las expectativas reflejadas en dichas declaraciones prospectivas son razonables, advierte a los inversionistas que la información y declaraciones prospectivas están sujetas a diferentes riesgos e incertidumbres, muchos de los cuales son difíciles de predecir y están, generalmente, más allá del control de Sanofi, que pudieran causar que los resultados y los desarrollos reales difieran materialmente de los expresados, implicados o proyectados en la información y declaraciones prospectivas. Estos riesgos e incertidumbres incluyen, entre otras cosas, las incertidumbres inherentes a la investigación y desarrollo, datos y análisis clínicos futuros, incluyendo los posteriores a la comercialización, las decisiones tomadas por las autoridades regulatorias como la FDA o la EMA, acerca de si se autoriza o no y cuándo se autoriza un fármaco, un dispositivo o una aplicación biológica que pueda registrarse para cualquier producto candidato, así como sus decisiones referentes al etiquetado y a otros asuntos que podrían afectar la disponibilidad o la posible comercialización de dichos productos candidatos, la ausencia de garantía de que los productos candidatos, una vez aprobados, tengan éxito en el mercado, la futura aprobación y éxito comercial de alternativas de tratamiento, la capacidad del Grupo para beneficiarse con oportunidades externas de crecimiento, tendencias en tipos de cambio y tasas de interés prevalecientes, el impacto de las políticas de contención de costos y los cambios posteriores a los mismos, el número promedio de acciones en circulación, así como aquellos discutidos o identificados en los archivos públicos del SEC y la AMF elaborados por Sanofi, incluyendo los enlistados en los apartados “Factores de Riesgo” y “Declaración Preventiva Referente a las Declaraciones Prospectivas” del informe anual de Sanofi en el Formulario 20-F para el año concluido el 31 de Diciembre de 2015. Sanofi no se compromete a actualizar, ni a revisar la información, ni las declaraciones prospectivas, a menos que así lo requiera la legislación vigente. </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right"/>
      <w:rPr/>
    </w:pPr>
    <w:r w:rsidDel="00000000" w:rsidR="00000000" w:rsidRPr="00000000">
      <w:rPr>
        <w:sz w:val="18"/>
        <w:szCs w:val="18"/>
      </w:rPr>
      <w:drawing>
        <wp:inline distB="114300" distT="114300" distL="114300" distR="114300">
          <wp:extent cx="1003300" cy="609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3300"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e.tl/t-7y7MC5Uat0"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